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La position de Philippe Saviuc (Médecin retraité</w:t>
      </w:r>
      <w:r w:rsidR="00A02687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 xml:space="preserve"> du Centre de toxicovigilance de</w:t>
      </w:r>
      <w:r w:rsidRPr="00BC0C09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 xml:space="preserve"> Grenoble</w:t>
      </w:r>
      <w:r w:rsidR="00A02687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)</w:t>
      </w:r>
      <w:r w:rsidRPr="00BC0C09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 :</w:t>
      </w:r>
    </w:p>
    <w:p w:rsid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BC0C09" w:rsidRPr="00BC0C09" w:rsidRDefault="00A02687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 la suite de la publication de Emmeline Lagrange (voir lien 1 ci-dessous), l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 discussion porte autour de la relation causale entre consommation de gyromitre et regroupements de cas de SLA</w:t>
      </w:r>
      <w:r w:rsidR="00BC0C09"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</w:t>
      </w:r>
    </w:p>
    <w:p w:rsidR="00BC0C09" w:rsidRPr="00FD063A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</w:p>
    <w:p w:rsidR="00BC0C09" w:rsidRPr="00FD063A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  <w:r w:rsidRPr="00FD063A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A décharge du lien causal :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l n'y a pas de preuve à ce jour du lien entre SLA (maladie de Charcot) et </w:t>
      </w:r>
      <w:r w:rsidRPr="004E73E1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Gyromitra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;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la relation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est "possible", mais ni vraisemblable / ni probable / ni certain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 A contrario, l'absence de lien n'est aussi pas démontrée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</w:t>
      </w:r>
      <w:r w:rsidRPr="00BB2395">
        <w:rPr>
          <w:rFonts w:ascii="Helvetica" w:eastAsia="Times New Roman" w:hAnsi="Helvetica" w:cs="Helvetica"/>
          <w:b/>
          <w:i/>
          <w:iCs/>
          <w:color w:val="1D2228"/>
          <w:sz w:val="20"/>
          <w:szCs w:val="20"/>
          <w:lang w:eastAsia="fr-FR"/>
        </w:rPr>
        <w:t>G. gigas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a été incriminé à Montchavin par un mycologue (allemand ?) dont je n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 connais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pas l'identité, identifié à partir de matériel sec et/ou congelé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La présence de gyromitrine dans </w:t>
      </w:r>
      <w:r w:rsidRPr="004E73E1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G. gigas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n'est pas établie (une seule ancienne étude l'atteste, d'autres non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 ;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les méthodes analytiques ont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beaucoup évolué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depuis 40 ans). La publi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cation d’Alden</w:t>
      </w:r>
      <w:r w:rsidR="004E73E1"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Dirks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(lien 2 ci-dessous,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mentionnée</w:t>
      </w:r>
      <w:r w:rsidR="00BB239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par Nicolas</w:t>
      </w:r>
      <w:r w:rsidR="00BB239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Van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ooren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)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  <w:r w:rsidR="00EA4DB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n’a pas </w:t>
      </w:r>
      <w:r w:rsidR="00AA223D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confirmé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la présence de gyromitrine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4E73E1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En allant sur le terrain début mai 2022, à environ 500 m de Montchavin (~1300 m d'alt.), sur les indications d'un contact local, nous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avons trouvé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(O. Sageat et moi) une douzaine d'exemplaires massifs (200 g en moyenne) de </w:t>
      </w:r>
      <w:r w:rsidRPr="00BB2395">
        <w:rPr>
          <w:rFonts w:ascii="Helvetica" w:eastAsia="Times New Roman" w:hAnsi="Helvetica" w:cs="Helvetica"/>
          <w:b/>
          <w:i/>
          <w:iCs/>
          <w:color w:val="1D2228"/>
          <w:sz w:val="20"/>
          <w:szCs w:val="20"/>
          <w:lang w:eastAsia="fr-FR"/>
        </w:rPr>
        <w:t>Gyromitra fastigiata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, que l’on doit nommer </w:t>
      </w:r>
      <w:r w:rsidRPr="00BB2395">
        <w:rPr>
          <w:rFonts w:ascii="Helvetica" w:eastAsia="Times New Roman" w:hAnsi="Helvetica" w:cs="Helvetica"/>
          <w:b/>
          <w:i/>
          <w:iCs/>
          <w:color w:val="1D2228"/>
          <w:sz w:val="20"/>
          <w:szCs w:val="20"/>
          <w:lang w:eastAsia="fr-FR"/>
        </w:rPr>
        <w:t>G. grandis</w:t>
      </w:r>
      <w:r w:rsidR="004E73E1" w:rsidRPr="00BB2395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 xml:space="preserve">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après une mise au point de Nicolas Van</w:t>
      </w:r>
      <w:r w:rsidR="00BB239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ooren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, identification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que ce dernier a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confirmé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à partir de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photos macro et micro. La présence de gyromitrine n'est pas établie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à ce jour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dans </w:t>
      </w:r>
      <w:r w:rsidRPr="004E73E1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G. fastigiata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(non testée dans la publi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cation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’Alden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Dirks). Ces exemplaires de </w:t>
      </w:r>
      <w:r w:rsidRPr="004E73E1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G. fastigiata</w:t>
      </w:r>
      <w:r w:rsidR="00BB2395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 xml:space="preserve">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ont été envoyé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par Emmeline Lagrange </w:t>
      </w:r>
      <w:r w:rsidR="00A02687"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chez Alden Dirks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aux US fin 2022, pour recherche de toxine et 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analyse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biomol</w:t>
      </w:r>
      <w:r w:rsidR="004E73E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éculaire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Pr="00BC0C09" w:rsidRDefault="004E73E1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Dans la publication d’E. Lagrange, l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’étude épidémiologique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cas-témoins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présente quelques limitations en terme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de comparabilité des 2 groupes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ce q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ui nuit à l’interprétation de ses résultats.</w:t>
      </w:r>
      <w:r w:rsidR="00BC0C09"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</w:p>
    <w:p w:rsidR="00BC0C09" w:rsidRDefault="00721B07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Tout c</w:t>
      </w:r>
      <w:r w:rsidR="004E73E1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eci ne doit pas inviter à limiter les recherches, mais à contraire à les renforcer</w:t>
      </w:r>
      <w:r w:rsidR="00A02687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.</w:t>
      </w:r>
    </w:p>
    <w:p w:rsidR="004E73E1" w:rsidRPr="00FD063A" w:rsidRDefault="004E73E1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</w:p>
    <w:p w:rsidR="00BC0C09" w:rsidRPr="00FD063A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  <w:r w:rsidRPr="00FD063A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A charge du lien causal :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- Tout est parti de cas de SLA dans la Pacifique à partir d'une toxine contenue dans les graines de cycad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contenant de la cycasine,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ayant comme métabolite final la MMA, MMA qui serait aussi un métabolite final de la MMH (hypothèse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: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gyromitrine -&gt; MMH -&gt; MMA ; MMH = </w:t>
      </w:r>
      <w:r w:rsidRPr="00721B07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fr-FR"/>
        </w:rPr>
        <w:t>m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ono</w:t>
      </w:r>
      <w:r w:rsidRPr="00721B07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fr-FR"/>
        </w:rPr>
        <w:t>m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éthyl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h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ydrazine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; MMA = </w:t>
      </w:r>
      <w:r w:rsidR="00721B07" w:rsidRPr="00721B07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fr-FR"/>
        </w:rPr>
        <w:t>m</w:t>
      </w:r>
      <w:r w:rsidR="00721B07">
        <w:rPr>
          <w:rFonts w:ascii="Helvetica" w:eastAsia="Times New Roman" w:hAnsi="Helvetica" w:cs="Helvetica"/>
          <w:color w:val="505050"/>
          <w:sz w:val="20"/>
          <w:szCs w:val="20"/>
          <w:lang w:eastAsia="fr-FR"/>
        </w:rPr>
        <w:t>é</w:t>
      </w:r>
      <w:r w:rsidRPr="00BC0C09">
        <w:rPr>
          <w:rFonts w:ascii="Helvetica" w:eastAsia="Times New Roman" w:hAnsi="Helvetica" w:cs="Helvetica"/>
          <w:color w:val="505050"/>
          <w:sz w:val="20"/>
          <w:szCs w:val="20"/>
          <w:lang w:eastAsia="fr-FR"/>
        </w:rPr>
        <w:t>thyl</w:t>
      </w:r>
      <w:r w:rsidRPr="00721B07">
        <w:rPr>
          <w:rFonts w:ascii="Helvetica" w:eastAsia="Times New Roman" w:hAnsi="Helvetica" w:cs="Helvetica"/>
          <w:color w:val="505050"/>
          <w:sz w:val="20"/>
          <w:szCs w:val="20"/>
          <w:u w:val="single"/>
          <w:lang w:eastAsia="fr-FR"/>
        </w:rPr>
        <w:t>a</w:t>
      </w:r>
      <w:r w:rsidRPr="00BC0C09">
        <w:rPr>
          <w:rFonts w:ascii="Helvetica" w:eastAsia="Times New Roman" w:hAnsi="Helvetica" w:cs="Helvetica"/>
          <w:color w:val="505050"/>
          <w:sz w:val="20"/>
          <w:szCs w:val="20"/>
          <w:lang w:eastAsia="fr-FR"/>
        </w:rPr>
        <w:t>zoxy</w:t>
      </w:r>
      <w:r w:rsidRPr="00721B07">
        <w:rPr>
          <w:rFonts w:ascii="Helvetica" w:eastAsia="Times New Roman" w:hAnsi="Helvetica" w:cs="Helvetica"/>
          <w:color w:val="505050"/>
          <w:sz w:val="20"/>
          <w:szCs w:val="20"/>
          <w:u w:val="single"/>
          <w:lang w:eastAsia="fr-FR"/>
        </w:rPr>
        <w:t>m</w:t>
      </w:r>
      <w:r w:rsidR="00721B07">
        <w:rPr>
          <w:rFonts w:ascii="Helvetica" w:eastAsia="Times New Roman" w:hAnsi="Helvetica" w:cs="Helvetica"/>
          <w:color w:val="505050"/>
          <w:sz w:val="20"/>
          <w:szCs w:val="20"/>
          <w:lang w:eastAsia="fr-FR"/>
        </w:rPr>
        <w:t>é</w:t>
      </w:r>
      <w:r w:rsidRPr="00BC0C09">
        <w:rPr>
          <w:rFonts w:ascii="Helvetica" w:eastAsia="Times New Roman" w:hAnsi="Helvetica" w:cs="Helvetica"/>
          <w:color w:val="505050"/>
          <w:sz w:val="20"/>
          <w:szCs w:val="20"/>
          <w:lang w:eastAsia="fr-FR"/>
        </w:rPr>
        <w:t>thanol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). 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fr-FR"/>
        </w:rPr>
        <w:t>Mais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... il y a aussi d'autres neurotoxines dans ces graines, neurotoxines sans lien avec l'hydrazine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dont la BMAA, 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cette dernière ayant été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retrouvée après leur décès dans le cerveau de patients atteint de maladies neurodégénératives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 De fait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il y a une discussion scientifique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entre plusieurs 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mécanisme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d’action de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toxines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reliant cycad et SLA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- D'autres étiologies de SLA ont été (plus ou moins bien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, </w:t>
      </w:r>
      <w:r w:rsidR="003501F5" w:rsidRPr="00721B07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cf</w:t>
      </w:r>
      <w:r w:rsidR="000171DF" w:rsidRPr="00721B07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.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la limitation ci-dessus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) éliminées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 C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omme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certaines</w:t>
      </w:r>
      <w:r w:rsidR="00BB239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maladies neurodégé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né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ratives (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sclérose en plaque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Alzheimer)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il y a des dizaines d'hypothèses qui se sont succédées dans le temps)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C’est </w:t>
      </w:r>
      <w:r w:rsidR="003501F5" w:rsidRPr="00BB2395">
        <w:rPr>
          <w:rFonts w:ascii="Helvetica" w:eastAsia="Times New Roman" w:hAnsi="Helvetica" w:cs="Helvetica"/>
          <w:b/>
          <w:i/>
          <w:iCs/>
          <w:color w:val="1D2228"/>
          <w:sz w:val="20"/>
          <w:szCs w:val="20"/>
          <w:lang w:eastAsia="fr-FR"/>
        </w:rPr>
        <w:t>G. gigas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qui a été pointé.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Rien ne dit qu'il n'y a pas d'autres gyromitres dans le secteur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, comme </w:t>
      </w:r>
      <w:r w:rsidR="000171DF" w:rsidRPr="00BB2395">
        <w:rPr>
          <w:rFonts w:ascii="Helvetica" w:eastAsia="Times New Roman" w:hAnsi="Helvetica" w:cs="Helvetica"/>
          <w:b/>
          <w:i/>
          <w:iCs/>
          <w:color w:val="1D2228"/>
          <w:sz w:val="20"/>
          <w:szCs w:val="20"/>
          <w:lang w:eastAsia="fr-FR"/>
        </w:rPr>
        <w:t>G. esculenta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(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qui contient avec certitude 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de la gyromitrine)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même si 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la probabilité de 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sa 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présence en quantité peut apparaitre faible à 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l’</w:t>
      </w:r>
      <w:r w:rsidR="003501F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altitude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de Montchavin (1140 m) et à la tourbière</w:t>
      </w:r>
      <w:r w:rsidR="00CE0210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du Lac noir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évoquée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aussi 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comme lieu possible de récolte (1700 m)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 l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 seule mention</w:t>
      </w:r>
      <w:r w:rsidR="00BB239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de </w:t>
      </w:r>
      <w:r w:rsidR="000171DF" w:rsidRPr="000171DF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G. esculenta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en Tarentaise est à Bonvillard, à une altitude estimée à 780 m d’après le pointage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de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la carte de MycoflAURA. 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Et p</w:t>
      </w:r>
      <w:r w:rsidR="00CE0210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aradoxalement, l</w:t>
      </w:r>
      <w:r w:rsidR="000171DF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es sites de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cueillettes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de Montchavin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sont tenus secrets par les familles locales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;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- </w:t>
      </w:r>
      <w:r w:rsidR="00CE0210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Comme le mentionne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E. Lagrange, il y aurait des clusters (regroupement temporo-spatial) de cas de SLA dans le massif central (</w:t>
      </w:r>
      <w:r w:rsidR="00CE0210" w:rsidRPr="00721B07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fr-FR"/>
        </w:rPr>
        <w:t>G. esculenta</w:t>
      </w:r>
      <w:r w:rsidR="00CE0210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y est parfois consommée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)</w:t>
      </w:r>
      <w:r w:rsidR="00CE0210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et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en Finlande/Suède (on y consomme des Gyromitres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voir le lien 3 ci-dessous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)</w:t>
      </w:r>
      <w:r w:rsidR="00A0268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</w:t>
      </w: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BC0C09" w:rsidRPr="00BC0C09" w:rsidRDefault="00BC0C09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CE021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>En terme</w:t>
      </w:r>
      <w:r w:rsidR="00A0268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>s</w:t>
      </w:r>
      <w:r w:rsidRPr="00CE021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 xml:space="preserve"> de prévention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on en reste bien sûr à la non consommation de gyromitres (interdites de commerce depuis 1991), du fait du risque d'intoxication aiguë même après dessiccation, d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u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risque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à long terme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(</w:t>
      </w:r>
      <w:r w:rsidR="00721B07"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génotoxique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, </w:t>
      </w: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puissant cancérigène chez le rat), et maintenant pour une nouvelle raison, bonne ou non...</w:t>
      </w:r>
    </w:p>
    <w:p w:rsidR="00BC0C09" w:rsidRPr="00BC0C09" w:rsidRDefault="00BC0C09" w:rsidP="00CE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C09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</w:p>
    <w:p w:rsidR="00CE0210" w:rsidRDefault="00A02687" w:rsidP="00BC0C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- Lien 1</w:t>
      </w:r>
      <w:r w:rsidR="00CE0210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 </w:t>
      </w:r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: An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amyotrophiclateralsclerosis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 hot spot in the French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Alpsassociatedwithgenotoxic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fungi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. Lagrange E et al. J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NeurolSci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. 2021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Aug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 xml:space="preserve"> 15;427:117558. </w:t>
      </w:r>
      <w:proofErr w:type="spellStart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doi</w:t>
      </w:r>
      <w:proofErr w:type="spellEnd"/>
      <w:r w:rsidR="00CE0210" w:rsidRPr="00CE0210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: 10.1016/j.jns.2021.117558. Epub 2021 Jun 25. PMID: 34216974</w:t>
      </w:r>
    </w:p>
    <w:p w:rsidR="00BC0C09" w:rsidRPr="00A02687" w:rsidRDefault="00A02687" w:rsidP="006E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it-IT" w:eastAsia="fr-FR"/>
        </w:rPr>
      </w:pPr>
      <w:r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 xml:space="preserve">- </w:t>
      </w:r>
      <w:r w:rsidR="00BC0C09" w:rsidRPr="00BC0C09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 xml:space="preserve">Lien </w:t>
      </w:r>
      <w:r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2</w:t>
      </w:r>
      <w:r w:rsidR="00BC0C09" w:rsidRPr="00A02687">
        <w:rPr>
          <w:rFonts w:ascii="Helvetica" w:eastAsia="Times New Roman" w:hAnsi="Helvetica" w:cs="Helvetica"/>
          <w:bCs/>
          <w:color w:val="1D2228"/>
          <w:sz w:val="20"/>
          <w:szCs w:val="20"/>
          <w:lang w:eastAsia="fr-FR"/>
        </w:rPr>
        <w:t>:</w:t>
      </w:r>
      <w:r w:rsidR="00BC0C09" w:rsidRPr="00BC0C09">
        <w:rPr>
          <w:rFonts w:ascii="Helvetica" w:eastAsia="Times New Roman" w:hAnsi="Helvetica" w:cs="Helvetica"/>
          <w:b/>
          <w:color w:val="1D2228"/>
          <w:sz w:val="20"/>
          <w:szCs w:val="20"/>
          <w:lang w:eastAsia="fr-FR"/>
        </w:rPr>
        <w:t> </w:t>
      </w:r>
      <w:hyperlink r:id="rId5" w:tgtFrame="_blank" w:history="1">
        <w:r w:rsidR="006E0FC4">
          <w:rPr>
            <w:rFonts w:ascii="Helvetica" w:eastAsia="Times New Roman" w:hAnsi="Helvetica" w:cs="Helvetica"/>
            <w:color w:val="196AD4"/>
            <w:sz w:val="20"/>
            <w:u w:val="single"/>
            <w:lang w:val="en-GB" w:eastAsia="fr-FR"/>
          </w:rPr>
          <w:t xml:space="preserve">Dirks A, Mohamed OG, Schultz PJ, Miller AN, Tripathi A, James TY. </w:t>
        </w:r>
        <w:r w:rsidR="00BC0C09" w:rsidRPr="00BC0C09">
          <w:rPr>
            <w:rFonts w:ascii="Helvetica" w:eastAsia="Times New Roman" w:hAnsi="Helvetica" w:cs="Helvetica"/>
            <w:color w:val="196AD4"/>
            <w:sz w:val="20"/>
            <w:u w:val="single"/>
            <w:lang w:val="en-GB" w:eastAsia="fr-FR"/>
          </w:rPr>
          <w:t>Not all bad: Gyromitrin has a limited distribution in the false morels as determined by a new ultra high-performance liquid chromatography method</w:t>
        </w:r>
        <w:r w:rsidR="006E0FC4">
          <w:rPr>
            <w:rFonts w:ascii="Helvetica" w:eastAsia="Times New Roman" w:hAnsi="Helvetica" w:cs="Helvetica"/>
            <w:color w:val="196AD4"/>
            <w:sz w:val="20"/>
            <w:u w:val="single"/>
            <w:lang w:val="en-GB" w:eastAsia="fr-FR"/>
          </w:rPr>
          <w:t xml:space="preserve">. </w:t>
        </w:r>
        <w:proofErr w:type="spellStart"/>
        <w:r w:rsidR="006E0FC4">
          <w:rPr>
            <w:rFonts w:ascii="Helvetica" w:eastAsia="Times New Roman" w:hAnsi="Helvetica" w:cs="Helvetica"/>
            <w:color w:val="196AD4"/>
            <w:sz w:val="20"/>
            <w:u w:val="single"/>
            <w:lang w:val="en-GB" w:eastAsia="fr-FR"/>
          </w:rPr>
          <w:t>Mycologia</w:t>
        </w:r>
        <w:proofErr w:type="spellEnd"/>
        <w:r w:rsidR="006E0FC4">
          <w:rPr>
            <w:rFonts w:ascii="Helvetica" w:eastAsia="Times New Roman" w:hAnsi="Helvetica" w:cs="Helvetica"/>
            <w:color w:val="196AD4"/>
            <w:sz w:val="20"/>
            <w:u w:val="single"/>
            <w:lang w:val="en-GB" w:eastAsia="fr-FR"/>
          </w:rPr>
          <w:t>, 2023, 115(1), 1-15</w:t>
        </w:r>
      </w:hyperlink>
    </w:p>
    <w:p w:rsidR="00D71667" w:rsidRPr="00721B07" w:rsidRDefault="00A02687" w:rsidP="00A02687">
      <w:pPr>
        <w:shd w:val="clear" w:color="auto" w:fill="FFFFFF"/>
        <w:spacing w:after="0" w:line="240" w:lineRule="auto"/>
      </w:pPr>
      <w:r w:rsidRP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lastRenderedPageBreak/>
        <w:t>-</w:t>
      </w:r>
      <w:r w:rsidR="00721B07" w:rsidRPr="00721B0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>Lien 3</w:t>
      </w:r>
      <w:r w:rsidR="00721B07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:</w:t>
      </w:r>
      <w:hyperlink r:id="rId6" w:history="1">
        <w:r w:rsidRPr="00721B07">
          <w:rPr>
            <w:rStyle w:val="Lienhypertexte"/>
            <w:rFonts w:ascii="Helvetica" w:eastAsia="Times New Roman" w:hAnsi="Helvetica" w:cs="Helvetica"/>
            <w:sz w:val="20"/>
            <w:szCs w:val="20"/>
            <w:lang w:eastAsia="fr-FR"/>
          </w:rPr>
          <w:t>https://www.arsla.org/actus/mise-au-point-la-consommation-de-champignons-pourrait-elle-etre-a-lorigine-dune-forme-de-sla/</w:t>
        </w:r>
      </w:hyperlink>
    </w:p>
    <w:sectPr w:rsidR="00D71667" w:rsidRPr="00721B07" w:rsidSect="00D7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5E5"/>
    <w:multiLevelType w:val="multilevel"/>
    <w:tmpl w:val="486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60049"/>
    <w:multiLevelType w:val="multilevel"/>
    <w:tmpl w:val="414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C09"/>
    <w:rsid w:val="000171DF"/>
    <w:rsid w:val="00250584"/>
    <w:rsid w:val="002C44A6"/>
    <w:rsid w:val="002F0CD4"/>
    <w:rsid w:val="003501F5"/>
    <w:rsid w:val="003736CB"/>
    <w:rsid w:val="004E73E1"/>
    <w:rsid w:val="00565F54"/>
    <w:rsid w:val="006E0FC4"/>
    <w:rsid w:val="00721B07"/>
    <w:rsid w:val="00A02687"/>
    <w:rsid w:val="00AA223D"/>
    <w:rsid w:val="00B00C78"/>
    <w:rsid w:val="00BB2395"/>
    <w:rsid w:val="00BC0C09"/>
    <w:rsid w:val="00CC2ABE"/>
    <w:rsid w:val="00CE0210"/>
    <w:rsid w:val="00D71667"/>
    <w:rsid w:val="00EA4DB1"/>
    <w:rsid w:val="00FD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7"/>
  </w:style>
  <w:style w:type="paragraph" w:styleId="Titre1">
    <w:name w:val="heading 1"/>
    <w:basedOn w:val="Normal"/>
    <w:link w:val="Titre1Car"/>
    <w:uiPriority w:val="9"/>
    <w:qFormat/>
    <w:rsid w:val="006E0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0C09"/>
    <w:rPr>
      <w:color w:val="0000FF"/>
      <w:u w:val="single"/>
    </w:rPr>
  </w:style>
  <w:style w:type="paragraph" w:customStyle="1" w:styleId="yiv6911002610msonormal">
    <w:name w:val="yiv6911002610msonormal"/>
    <w:basedOn w:val="Normal"/>
    <w:rsid w:val="00B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E0F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eriod">
    <w:name w:val="period"/>
    <w:basedOn w:val="Policepardfaut"/>
    <w:rsid w:val="006E0FC4"/>
  </w:style>
  <w:style w:type="character" w:customStyle="1" w:styleId="cit">
    <w:name w:val="cit"/>
    <w:basedOn w:val="Policepardfaut"/>
    <w:rsid w:val="006E0FC4"/>
  </w:style>
  <w:style w:type="character" w:customStyle="1" w:styleId="citation-doi">
    <w:name w:val="citation-doi"/>
    <w:basedOn w:val="Policepardfaut"/>
    <w:rsid w:val="006E0FC4"/>
  </w:style>
  <w:style w:type="character" w:customStyle="1" w:styleId="secondary-date">
    <w:name w:val="secondary-date"/>
    <w:basedOn w:val="Policepardfaut"/>
    <w:rsid w:val="006E0FC4"/>
  </w:style>
  <w:style w:type="character" w:customStyle="1" w:styleId="authors-list-item">
    <w:name w:val="authors-list-item"/>
    <w:basedOn w:val="Policepardfaut"/>
    <w:rsid w:val="006E0FC4"/>
  </w:style>
  <w:style w:type="character" w:customStyle="1" w:styleId="author-sup-separator">
    <w:name w:val="author-sup-separator"/>
    <w:basedOn w:val="Policepardfaut"/>
    <w:rsid w:val="006E0FC4"/>
  </w:style>
  <w:style w:type="character" w:customStyle="1" w:styleId="comma">
    <w:name w:val="comma"/>
    <w:basedOn w:val="Policepardfaut"/>
    <w:rsid w:val="006E0FC4"/>
  </w:style>
  <w:style w:type="paragraph" w:styleId="Paragraphedeliste">
    <w:name w:val="List Paragraph"/>
    <w:basedOn w:val="Normal"/>
    <w:uiPriority w:val="34"/>
    <w:qFormat/>
    <w:rsid w:val="00A0268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026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0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8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la.org/actus/mise-au-point-la-consommation-de-champignons-pourrait-elle-etre-a-lorigine-dune-forme-de-sla/" TargetMode="External"/><Relationship Id="rId5" Type="http://schemas.openxmlformats.org/officeDocument/2006/relationships/hyperlink" Target="https://www.researchgate.net/publication/366489382_Not_all_bad_Gyromitrin_has_a_limited_distribution_in_the_false_morels_as_determined_by_a_new_ultra_high-performance_liquid_chromatography_meth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2023-03-08T17:09:00Z</dcterms:created>
  <dcterms:modified xsi:type="dcterms:W3CDTF">2023-03-08T21:57:00Z</dcterms:modified>
</cp:coreProperties>
</file>