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</w:rPr>
        <w:t xml:space="preserve">Selon Pierre Neville et Georges Chevassut, Amanita rubescens (Amanite vineuse ou Amanite rougissante) </w:t>
      </w:r>
      <w:r>
        <w:rPr>
          <w:rFonts w:cs="Arial" w:ascii="Arial" w:hAnsi="Arial"/>
          <w:shd w:fill="FFFF99" w:val="clear"/>
        </w:rPr>
        <w:t>doit être consommée bien cuite car elle contient des hémolysines qui se détruisent par la chaleur</w:t>
      </w:r>
      <w:r>
        <w:rPr>
          <w:rFonts w:cs="Arial" w:ascii="Arial" w:hAnsi="Arial"/>
        </w:rPr>
        <w:t>. Les scientifiques précisent par ailleurs que cette espèce accumule fortement le mercure.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itre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next w:val="Corpsdetexte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LibreOffice/6.0.7.3$Linux_X86_64 LibreOffice_project/00m0$Build-3</Application>
  <Pages>1</Pages>
  <Words>41</Words>
  <Characters>249</Characters>
  <CharactersWithSpaces>289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2019-03-29T12:35:14Z</dcterms:created>
  <dc:creator/>
  <dc:description/>
  <dc:language>fr-FR</dc:language>
  <cp:lastModifiedBy/>
  <dcterms:modified xsi:type="dcterms:W3CDTF">2019-04-06T00:11:04Z</dcterms:modified>
  <cp:revision>5</cp:revision>
  <dc:subject/>
  <dc:title/>
</cp:coreProperties>
</file>